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3E8C" w14:textId="368C5A29" w:rsidR="00A31B88" w:rsidRDefault="000B3A47" w:rsidP="00DD36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16E7">
        <w:rPr>
          <w:rFonts w:asciiTheme="minorHAnsi" w:hAnsiTheme="minorHAnsi" w:cstheme="minorHAnsi"/>
          <w:b/>
          <w:bCs/>
          <w:sz w:val="28"/>
          <w:szCs w:val="28"/>
        </w:rPr>
        <w:t xml:space="preserve">POLITIQUE DE CONSOMMATION D’ALCOOL </w:t>
      </w:r>
      <w:r w:rsidR="007B16E7" w:rsidRPr="007B16E7">
        <w:rPr>
          <w:rFonts w:asciiTheme="minorHAnsi" w:hAnsiTheme="minorHAnsi" w:cstheme="minorHAnsi"/>
          <w:b/>
          <w:bCs/>
          <w:sz w:val="28"/>
          <w:szCs w:val="28"/>
        </w:rPr>
        <w:t>ET DE DROGUES</w:t>
      </w:r>
    </w:p>
    <w:p w14:paraId="77E83090" w14:textId="77777777" w:rsidR="00DD3604" w:rsidRPr="007B16E7" w:rsidRDefault="00DD3604" w:rsidP="00DD36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710D56" w14:textId="505C425A" w:rsidR="00FB726F" w:rsidRDefault="00FB726F" w:rsidP="00DD3604">
      <w:pPr>
        <w:pStyle w:val="Section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0B3A47">
        <w:rPr>
          <w:rFonts w:asciiTheme="minorHAnsi" w:hAnsiTheme="minorHAnsi" w:cstheme="minorHAnsi"/>
          <w:bCs/>
          <w:sz w:val="22"/>
          <w:szCs w:val="22"/>
        </w:rPr>
        <w:t>Norme 2.5</w:t>
      </w:r>
      <w:r w:rsidR="005C7A97" w:rsidRPr="000B3A47">
        <w:rPr>
          <w:rFonts w:asciiTheme="minorHAnsi" w:hAnsiTheme="minorHAnsi" w:cstheme="minorHAnsi"/>
          <w:bCs/>
          <w:sz w:val="22"/>
          <w:szCs w:val="22"/>
        </w:rPr>
        <w:t> </w:t>
      </w:r>
      <w:r w:rsidRPr="000B3A47">
        <w:rPr>
          <w:rFonts w:asciiTheme="minorHAnsi" w:hAnsiTheme="minorHAnsi" w:cstheme="minorHAnsi"/>
          <w:bCs/>
          <w:sz w:val="22"/>
          <w:szCs w:val="22"/>
        </w:rPr>
        <w:t xml:space="preserve">: Élaborer et diffuser </w:t>
      </w:r>
      <w:r w:rsidRPr="000B3A47">
        <w:rPr>
          <w:rFonts w:asciiTheme="minorHAnsi" w:hAnsiTheme="minorHAnsi" w:cstheme="minorHAnsi"/>
          <w:sz w:val="22"/>
          <w:szCs w:val="22"/>
        </w:rPr>
        <w:t>une politique de consommation d’alcool et de drogues dans le parc, y compris durant la pratique d’activités de plein air.</w:t>
      </w:r>
    </w:p>
    <w:p w14:paraId="6E070F0C" w14:textId="77777777" w:rsidR="00DE7D0D" w:rsidRDefault="00DE7D0D" w:rsidP="00DD3604">
      <w:pPr>
        <w:pStyle w:val="Section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7D0D" w14:paraId="58DF36F2" w14:textId="77777777" w:rsidTr="00DE7D0D">
        <w:tc>
          <w:tcPr>
            <w:tcW w:w="8630" w:type="dxa"/>
          </w:tcPr>
          <w:p w14:paraId="10C05498" w14:textId="77777777" w:rsidR="00DE7D0D" w:rsidRDefault="00DE7D0D" w:rsidP="00DE7D0D">
            <w:pPr>
              <w:pStyle w:val="Section"/>
              <w:spacing w:line="276" w:lineRule="auto"/>
              <w:ind w:left="161" w:right="25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Exemple : </w:t>
            </w:r>
            <w:r w:rsidRPr="000B3A47">
              <w:rPr>
                <w:rFonts w:asciiTheme="minorHAnsi" w:hAnsiTheme="minorHAnsi" w:cstheme="minorHAnsi"/>
                <w:bCs/>
                <w:sz w:val="22"/>
                <w:szCs w:val="22"/>
              </w:rPr>
              <w:t>Un parc qui offre une activité d’escalade choisirait d’interdire la consommation d’alcool et de drogues lors de la pratique de cette activité.</w:t>
            </w:r>
          </w:p>
          <w:p w14:paraId="0CF31B6A" w14:textId="6C46BCAE" w:rsidR="00DE7D0D" w:rsidRDefault="00DE7D0D" w:rsidP="00DE7D0D">
            <w:pPr>
              <w:pStyle w:val="Section"/>
              <w:spacing w:line="276" w:lineRule="auto"/>
              <w:ind w:left="161" w:right="25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Vous </w:t>
            </w:r>
            <w:r w:rsidRPr="000B3A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devez </w:t>
            </w:r>
            <w:r w:rsidRPr="000B3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diffuser l’énoncé de votre politique dans au moins un document transmis à la clientèle </w:t>
            </w:r>
            <w:r w:rsidRPr="000B3A47">
              <w:rPr>
                <w:rFonts w:asciiTheme="minorHAnsi" w:hAnsiTheme="minorHAnsi" w:cstheme="minorHAnsi"/>
                <w:bCs/>
                <w:sz w:val="22"/>
                <w:szCs w:val="22"/>
              </w:rPr>
              <w:t>(facture, confirmation d’inscription par courriel, panneau à l’entrée du site, liste d’équipement recommandé, code de bonne conduite, etc.).</w:t>
            </w:r>
          </w:p>
          <w:p w14:paraId="6C3C1ADB" w14:textId="4A6BC110" w:rsidR="00DE7D0D" w:rsidRPr="00DE7D0D" w:rsidRDefault="00DE7D0D" w:rsidP="00DE7D0D">
            <w:pPr>
              <w:pStyle w:val="Section"/>
              <w:spacing w:line="276" w:lineRule="auto"/>
              <w:ind w:left="161" w:right="25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A47">
              <w:rPr>
                <w:rFonts w:asciiTheme="minorHAnsi" w:hAnsiTheme="minorHAnsi" w:cstheme="minorHAnsi"/>
                <w:bCs/>
                <w:sz w:val="22"/>
                <w:szCs w:val="22"/>
              </w:rPr>
              <w:t>Votre politique doit être conforme à la réglementation municipale</w:t>
            </w:r>
          </w:p>
        </w:tc>
      </w:tr>
    </w:tbl>
    <w:p w14:paraId="2645B636" w14:textId="77777777" w:rsidR="00DE7D0D" w:rsidRDefault="00DE7D0D" w:rsidP="00DD3604">
      <w:pPr>
        <w:pStyle w:val="Section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D4895F1" w14:textId="3B7D99E8" w:rsidR="00FB726F" w:rsidRPr="000B3A47" w:rsidRDefault="00FB726F" w:rsidP="00712937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A47">
        <w:rPr>
          <w:rFonts w:asciiTheme="minorHAnsi" w:hAnsiTheme="minorHAnsi" w:cstheme="minorHAnsi"/>
          <w:color w:val="000000"/>
          <w:sz w:val="22"/>
          <w:szCs w:val="22"/>
        </w:rPr>
        <w:t>Vous trouverez ci-dessous un m</w:t>
      </w:r>
      <w:r w:rsidR="00A31B88"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odèle d’énoncé </w:t>
      </w:r>
      <w:r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pour </w:t>
      </w:r>
      <w:r w:rsidR="006F6356"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votre site </w:t>
      </w:r>
      <w:r w:rsidRPr="000B3A4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F6356"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eb </w:t>
      </w:r>
      <w:r w:rsidRPr="000B3A47">
        <w:rPr>
          <w:rFonts w:asciiTheme="minorHAnsi" w:hAnsiTheme="minorHAnsi" w:cstheme="minorHAnsi"/>
          <w:color w:val="000000"/>
          <w:sz w:val="22"/>
          <w:szCs w:val="22"/>
        </w:rPr>
        <w:t>ou un document</w:t>
      </w:r>
      <w:r w:rsidR="00A31B88"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 envoyé à </w:t>
      </w:r>
      <w:r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votre clientèle </w:t>
      </w:r>
      <w:r w:rsidR="00A31B88" w:rsidRPr="000B3A47">
        <w:rPr>
          <w:rFonts w:asciiTheme="minorHAnsi" w:hAnsiTheme="minorHAnsi" w:cstheme="minorHAnsi"/>
          <w:color w:val="000000"/>
          <w:sz w:val="22"/>
          <w:szCs w:val="22"/>
        </w:rPr>
        <w:t>avant l’activité</w:t>
      </w:r>
      <w:r w:rsidRPr="000B3A4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276A2"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164D"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Les extraits en rouge doivent être adaptés à vos besoins. </w:t>
      </w:r>
      <w:r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Veuillez noter que ce texte </w:t>
      </w:r>
      <w:r w:rsidR="007654DA" w:rsidRPr="000B3A47">
        <w:rPr>
          <w:rFonts w:asciiTheme="minorHAnsi" w:hAnsiTheme="minorHAnsi" w:cstheme="minorHAnsi"/>
          <w:color w:val="000000"/>
          <w:sz w:val="22"/>
          <w:szCs w:val="22"/>
        </w:rPr>
        <w:t>vous est fourni à titre de suggestion</w:t>
      </w:r>
      <w:r w:rsidR="007654DA" w:rsidRPr="000B3A47">
        <w:rPr>
          <w:rFonts w:asciiTheme="minorHAnsi" w:hAnsiTheme="minorHAnsi" w:cstheme="minorHAnsi"/>
          <w:color w:val="000000"/>
          <w:sz w:val="22"/>
          <w:szCs w:val="22"/>
        </w:rPr>
        <w:t xml:space="preserve"> et qu’il </w:t>
      </w:r>
      <w:r w:rsidRPr="000B3A47">
        <w:rPr>
          <w:rFonts w:asciiTheme="minorHAnsi" w:hAnsiTheme="minorHAnsi" w:cstheme="minorHAnsi"/>
          <w:color w:val="000000"/>
          <w:sz w:val="22"/>
          <w:szCs w:val="22"/>
        </w:rPr>
        <w:t>n’a pas été révisé par un avocat ni par notre courtier en assurances</w:t>
      </w:r>
      <w:r w:rsidR="007654DA" w:rsidRPr="000B3A4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D4A19C" w14:textId="77777777" w:rsidR="00FB726F" w:rsidRPr="000B3A47" w:rsidRDefault="00FB726F" w:rsidP="00712937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05F3373" w14:textId="77777777" w:rsidR="006F6356" w:rsidRPr="000B3A47" w:rsidRDefault="006F6356" w:rsidP="00712937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F4570B6" w14:textId="77777777" w:rsidR="00A31B88" w:rsidRPr="000B3A47" w:rsidRDefault="00A31B88" w:rsidP="00712937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0B3A4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DROGUES ET ALCOOL</w:t>
      </w:r>
    </w:p>
    <w:p w14:paraId="5AD0C700" w14:textId="4355705C" w:rsidR="0045786A" w:rsidRPr="000B3A47" w:rsidRDefault="00630916" w:rsidP="00DD3604">
      <w:pPr>
        <w:spacing w:line="276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0B3A47">
        <w:rPr>
          <w:rFonts w:asciiTheme="minorHAnsi" w:hAnsiTheme="minorHAnsi" w:cstheme="minorHAnsi"/>
          <w:iCs/>
          <w:sz w:val="22"/>
          <w:szCs w:val="22"/>
        </w:rPr>
        <w:t>Veuillez noter qu’il est interdit de consommer ou d’être sous l’effet de toute drogue</w:t>
      </w:r>
      <w:r w:rsidR="00185C9F" w:rsidRPr="000B3A47">
        <w:rPr>
          <w:rFonts w:asciiTheme="minorHAnsi" w:hAnsiTheme="minorHAnsi" w:cstheme="minorHAnsi"/>
          <w:iCs/>
          <w:sz w:val="22"/>
          <w:szCs w:val="22"/>
        </w:rPr>
        <w:t xml:space="preserve"> dans le parc régional</w:t>
      </w:r>
      <w:r w:rsidRPr="000B3A47">
        <w:rPr>
          <w:rFonts w:asciiTheme="minorHAnsi" w:hAnsiTheme="minorHAnsi" w:cstheme="minorHAnsi"/>
          <w:iCs/>
          <w:sz w:val="22"/>
          <w:szCs w:val="22"/>
        </w:rPr>
        <w:t>. Également,</w:t>
      </w:r>
      <w:r w:rsidR="007927E2" w:rsidRPr="000B3A47">
        <w:rPr>
          <w:rFonts w:asciiTheme="minorHAnsi" w:hAnsiTheme="minorHAnsi" w:cstheme="minorHAnsi"/>
          <w:iCs/>
          <w:sz w:val="22"/>
          <w:szCs w:val="22"/>
        </w:rPr>
        <w:t xml:space="preserve"> il est fortement recommandé de </w:t>
      </w:r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(</w:t>
      </w:r>
      <w:r w:rsidR="00C654DD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e</w:t>
      </w:r>
      <w:r w:rsidR="00185C9F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xemple : </w:t>
      </w:r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ne pas être sous l’effet de l’alcool / </w:t>
      </w:r>
      <w:r w:rsidR="00C654DD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ne pas avoir un </w:t>
      </w:r>
      <w:proofErr w:type="gramStart"/>
      <w:r w:rsidR="00C654DD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taux </w:t>
      </w:r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d'alcoolémie</w:t>
      </w:r>
      <w:proofErr w:type="gramEnd"/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C654DD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supérieur à</w:t>
      </w:r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80 mg </w:t>
      </w:r>
      <w:r w:rsidR="00886F2E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sur</w:t>
      </w:r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100 ml de sang, </w:t>
      </w:r>
      <w:r w:rsidR="00C654DD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soit la limite </w:t>
      </w:r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communément appelée « point zéro huit »</w:t>
      </w:r>
      <w:r w:rsidR="00F2105B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/ </w:t>
      </w:r>
      <w:r w:rsidR="006F186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ou </w:t>
      </w:r>
      <w:r w:rsidR="00F2105B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autres</w:t>
      </w:r>
      <w:r w:rsidR="006F186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limites</w:t>
      </w:r>
      <w:r w:rsidR="007927E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)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31B88" w:rsidRPr="000B3A47">
        <w:rPr>
          <w:rFonts w:asciiTheme="minorHAnsi" w:hAnsiTheme="minorHAnsi" w:cstheme="minorHAnsi"/>
          <w:iCs/>
          <w:sz w:val="22"/>
          <w:szCs w:val="22"/>
        </w:rPr>
        <w:t>durant la pratique d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’</w:t>
      </w:r>
      <w:r w:rsidR="00A31B88" w:rsidRPr="000B3A47">
        <w:rPr>
          <w:rFonts w:asciiTheme="minorHAnsi" w:hAnsiTheme="minorHAnsi" w:cstheme="minorHAnsi"/>
          <w:iCs/>
          <w:sz w:val="22"/>
          <w:szCs w:val="22"/>
        </w:rPr>
        <w:t>activités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 de plein air</w:t>
      </w:r>
      <w:r w:rsidR="00A31B88" w:rsidRPr="000B3A47">
        <w:rPr>
          <w:rFonts w:asciiTheme="minorHAnsi" w:hAnsiTheme="minorHAnsi" w:cstheme="minorHAnsi"/>
          <w:iCs/>
          <w:sz w:val="22"/>
          <w:szCs w:val="22"/>
        </w:rPr>
        <w:t>. Le parc se réserve le droit d’</w:t>
      </w:r>
      <w:r w:rsidRPr="000B3A47">
        <w:rPr>
          <w:rFonts w:asciiTheme="minorHAnsi" w:hAnsiTheme="minorHAnsi" w:cstheme="minorHAnsi"/>
          <w:iCs/>
          <w:sz w:val="22"/>
          <w:szCs w:val="22"/>
        </w:rPr>
        <w:t>expulser sans préavis quic</w:t>
      </w:r>
      <w:r w:rsidR="00185C9F" w:rsidRPr="000B3A47">
        <w:rPr>
          <w:rFonts w:asciiTheme="minorHAnsi" w:hAnsiTheme="minorHAnsi" w:cstheme="minorHAnsi"/>
          <w:iCs/>
          <w:sz w:val="22"/>
          <w:szCs w:val="22"/>
        </w:rPr>
        <w:t xml:space="preserve">onque 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 xml:space="preserve">est </w:t>
      </w:r>
      <w:r w:rsidR="00A31B88" w:rsidRPr="000B3A47">
        <w:rPr>
          <w:rFonts w:asciiTheme="minorHAnsi" w:hAnsiTheme="minorHAnsi" w:cstheme="minorHAnsi"/>
          <w:iCs/>
          <w:sz w:val="22"/>
          <w:szCs w:val="22"/>
        </w:rPr>
        <w:t xml:space="preserve">sous l’influence </w:t>
      </w:r>
      <w:r w:rsidRPr="000B3A47">
        <w:rPr>
          <w:rFonts w:asciiTheme="minorHAnsi" w:hAnsiTheme="minorHAnsi" w:cstheme="minorHAnsi"/>
          <w:iCs/>
          <w:sz w:val="22"/>
          <w:szCs w:val="22"/>
        </w:rPr>
        <w:t>d’alcool ou de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s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 drogue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s</w:t>
      </w:r>
      <w:r w:rsidRPr="000B3A47">
        <w:rPr>
          <w:rFonts w:asciiTheme="minorHAnsi" w:hAnsiTheme="minorHAnsi" w:cstheme="minorHAnsi"/>
          <w:iCs/>
          <w:sz w:val="22"/>
          <w:szCs w:val="22"/>
        </w:rPr>
        <w:t>, et ce sans possibilité de remboursement</w:t>
      </w:r>
      <w:r w:rsidR="00614D52" w:rsidRPr="000B3A47">
        <w:rPr>
          <w:rFonts w:asciiTheme="minorHAnsi" w:hAnsiTheme="minorHAnsi" w:cstheme="minorHAnsi"/>
          <w:iCs/>
          <w:sz w:val="22"/>
          <w:szCs w:val="22"/>
        </w:rPr>
        <w:t>.</w:t>
      </w:r>
      <w:r w:rsidR="00185C9F" w:rsidRPr="000B3A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 xml:space="preserve">La pratique d’activités de plein air nécessite un bon niveau de vigilance et cette </w:t>
      </w:r>
      <w:r w:rsidR="00185C9F" w:rsidRPr="000B3A47">
        <w:rPr>
          <w:rFonts w:asciiTheme="minorHAnsi" w:hAnsiTheme="minorHAnsi" w:cstheme="minorHAnsi"/>
          <w:iCs/>
          <w:sz w:val="22"/>
          <w:szCs w:val="22"/>
        </w:rPr>
        <w:t xml:space="preserve">politique 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a pour but d’assurer</w:t>
      </w:r>
      <w:r w:rsidR="00185C9F" w:rsidRPr="000B3A47">
        <w:rPr>
          <w:rFonts w:asciiTheme="minorHAnsi" w:hAnsiTheme="minorHAnsi" w:cstheme="minorHAnsi"/>
          <w:iCs/>
          <w:sz w:val="22"/>
          <w:szCs w:val="22"/>
        </w:rPr>
        <w:t xml:space="preserve"> la sécurité 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 xml:space="preserve">des personnes qui pratiquent ces activités sur le territoire du parc. </w:t>
      </w:r>
      <w:r w:rsidR="00C654DD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>Mention du règlement de la municipalité ou de la MRC à ce sujet.</w:t>
      </w:r>
      <w:r w:rsidR="00676882" w:rsidRPr="000B3A47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</w:p>
    <w:p w14:paraId="166F23DE" w14:textId="77777777" w:rsidR="00185C9F" w:rsidRPr="000B3A47" w:rsidRDefault="00185C9F" w:rsidP="00DD360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0BFBF75" w14:textId="77777777" w:rsidR="00185C9F" w:rsidRPr="000B3A47" w:rsidRDefault="00185C9F" w:rsidP="00712937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0B3A4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TABAC</w:t>
      </w:r>
    </w:p>
    <w:p w14:paraId="6175D929" w14:textId="5AD3A392" w:rsidR="007927E2" w:rsidRPr="000B3A47" w:rsidRDefault="00185C9F" w:rsidP="00DD360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3A47">
        <w:rPr>
          <w:rFonts w:asciiTheme="minorHAnsi" w:hAnsiTheme="minorHAnsi" w:cstheme="minorHAnsi"/>
          <w:iCs/>
          <w:sz w:val="22"/>
          <w:szCs w:val="22"/>
        </w:rPr>
        <w:t>Veuillez noter qu’il est interdit de fumer dans les tentes, chapiteaux et autres installations semblables montés de façon temporaire ou permanente et qui accueillent le public; les terrasses et les autres aires extérieures exploitées dans le cadre d’une activité commerciale et qui sont aménagées pour y permettre le repos, la détente ou la consommation de produits; les aires extérieures de jeu destinées aux enfants et qui accueillent le public, y compris les aires de jeux d’eau, les pataugeoires et les planchodromes; les terrains sportifs et de jeux, y compris les aires réservées aux spectateurs, qui sont fréquentés par des mineurs et qui accueillent le public; les terrains des camps de vacances de même que les patinoires et les piscines extérieures qui sont fréquentés par des mineurs et qui accueillent le public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,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86F2E" w:rsidRPr="000B3A47">
        <w:rPr>
          <w:rFonts w:asciiTheme="minorHAnsi" w:hAnsiTheme="minorHAnsi" w:cstheme="minorHAnsi"/>
          <w:iCs/>
          <w:sz w:val="22"/>
          <w:szCs w:val="22"/>
        </w:rPr>
        <w:t>comme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 stipulé dans la 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L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oi 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 xml:space="preserve">concernant </w:t>
      </w:r>
      <w:r w:rsidRPr="000B3A47">
        <w:rPr>
          <w:rFonts w:asciiTheme="minorHAnsi" w:hAnsiTheme="minorHAnsi" w:cstheme="minorHAnsi"/>
          <w:iCs/>
          <w:sz w:val="22"/>
          <w:szCs w:val="22"/>
        </w:rPr>
        <w:t>la lutte contre le tabagisme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,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 article 2.1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,</w:t>
      </w:r>
      <w:r w:rsidRPr="000B3A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54DD" w:rsidRPr="000B3A47">
        <w:rPr>
          <w:rFonts w:asciiTheme="minorHAnsi" w:hAnsiTheme="minorHAnsi" w:cstheme="minorHAnsi"/>
          <w:iCs/>
          <w:sz w:val="22"/>
          <w:szCs w:val="22"/>
        </w:rPr>
        <w:t>a</w:t>
      </w:r>
      <w:r w:rsidRPr="000B3A47">
        <w:rPr>
          <w:rFonts w:asciiTheme="minorHAnsi" w:hAnsiTheme="minorHAnsi" w:cstheme="minorHAnsi"/>
          <w:iCs/>
          <w:sz w:val="22"/>
          <w:szCs w:val="22"/>
        </w:rPr>
        <w:t>linéas 2, 5, 6, 7 et 8.</w:t>
      </w:r>
    </w:p>
    <w:sectPr w:rsidR="007927E2" w:rsidRPr="000B3A47" w:rsidSect="00892F22">
      <w:footerReference w:type="default" r:id="rId9"/>
      <w:pgSz w:w="12240" w:h="15840"/>
      <w:pgMar w:top="1008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8891" w14:textId="77777777" w:rsidR="00892F22" w:rsidRDefault="00892F22" w:rsidP="00886F2E">
      <w:r>
        <w:separator/>
      </w:r>
    </w:p>
  </w:endnote>
  <w:endnote w:type="continuationSeparator" w:id="0">
    <w:p w14:paraId="17ECE35B" w14:textId="77777777" w:rsidR="00892F22" w:rsidRDefault="00892F22" w:rsidP="0088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s Jakarta Sans">
    <w:panose1 w:val="00000000000000000000"/>
    <w:charset w:val="00"/>
    <w:family w:val="auto"/>
    <w:pitch w:val="variable"/>
    <w:sig w:usb0="A10000FF" w:usb1="40006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B18F" w14:textId="456CB084" w:rsidR="0027059E" w:rsidRPr="0027059E" w:rsidRDefault="0027059E">
    <w:pPr>
      <w:pStyle w:val="Pieddepage"/>
      <w:rPr>
        <w:rFonts w:asciiTheme="minorHAnsi" w:hAnsiTheme="minorHAnsi" w:cstheme="minorHAnsi"/>
        <w:sz w:val="20"/>
        <w:szCs w:val="20"/>
      </w:rPr>
    </w:pPr>
    <w:r w:rsidRPr="0027059E">
      <w:rPr>
        <w:rFonts w:asciiTheme="minorHAnsi" w:hAnsiTheme="minorHAnsi" w:cstheme="minorHAnsi"/>
        <w:sz w:val="20"/>
        <w:szCs w:val="20"/>
      </w:rPr>
      <w:t>Modèle fourni par Parq (2024).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59FB" w14:textId="77777777" w:rsidR="00892F22" w:rsidRDefault="00892F22" w:rsidP="00886F2E">
      <w:r>
        <w:separator/>
      </w:r>
    </w:p>
  </w:footnote>
  <w:footnote w:type="continuationSeparator" w:id="0">
    <w:p w14:paraId="231738A5" w14:textId="77777777" w:rsidR="00892F22" w:rsidRDefault="00892F22" w:rsidP="0088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692"/>
    <w:multiLevelType w:val="multilevel"/>
    <w:tmpl w:val="29D4F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6813A8"/>
    <w:multiLevelType w:val="multilevel"/>
    <w:tmpl w:val="A0489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Plus Jakarta Sans" w:hAnsi="Plus Jakarta Sans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D4307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6268974">
    <w:abstractNumId w:val="2"/>
  </w:num>
  <w:num w:numId="2" w16cid:durableId="2072842977">
    <w:abstractNumId w:val="1"/>
  </w:num>
  <w:num w:numId="3" w16cid:durableId="208903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6D"/>
    <w:rsid w:val="00046441"/>
    <w:rsid w:val="000B3A47"/>
    <w:rsid w:val="000B5A10"/>
    <w:rsid w:val="00185C9F"/>
    <w:rsid w:val="001B66D6"/>
    <w:rsid w:val="0027059E"/>
    <w:rsid w:val="002A59DA"/>
    <w:rsid w:val="002D620D"/>
    <w:rsid w:val="003172E5"/>
    <w:rsid w:val="0045786A"/>
    <w:rsid w:val="005C7A97"/>
    <w:rsid w:val="00614D52"/>
    <w:rsid w:val="00630916"/>
    <w:rsid w:val="00676882"/>
    <w:rsid w:val="006F1862"/>
    <w:rsid w:val="006F6356"/>
    <w:rsid w:val="00712937"/>
    <w:rsid w:val="007654DA"/>
    <w:rsid w:val="007927E2"/>
    <w:rsid w:val="007B16E7"/>
    <w:rsid w:val="00832442"/>
    <w:rsid w:val="0088164D"/>
    <w:rsid w:val="00886F2E"/>
    <w:rsid w:val="00892F22"/>
    <w:rsid w:val="008B3154"/>
    <w:rsid w:val="009B2784"/>
    <w:rsid w:val="00A31B88"/>
    <w:rsid w:val="00B0615F"/>
    <w:rsid w:val="00B10BB7"/>
    <w:rsid w:val="00C276A2"/>
    <w:rsid w:val="00C654DD"/>
    <w:rsid w:val="00C870E7"/>
    <w:rsid w:val="00CC106D"/>
    <w:rsid w:val="00D76CE7"/>
    <w:rsid w:val="00DB3652"/>
    <w:rsid w:val="00DD3604"/>
    <w:rsid w:val="00DE02E7"/>
    <w:rsid w:val="00DE1DEC"/>
    <w:rsid w:val="00DE7D0D"/>
    <w:rsid w:val="00F2105B"/>
    <w:rsid w:val="00FB726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AAFD"/>
  <w15:chartTrackingRefBased/>
  <w15:docId w15:val="{7E637F81-10D5-437C-8A55-E49A998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31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B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8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6F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6F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6F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6F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ction">
    <w:name w:val="Section"/>
    <w:basedOn w:val="Paragraphedeliste"/>
    <w:rsid w:val="00FB726F"/>
    <w:pPr>
      <w:spacing w:before="120" w:after="120"/>
      <w:ind w:left="0" w:right="720"/>
      <w:contextualSpacing w:val="0"/>
      <w:jc w:val="both"/>
    </w:pPr>
    <w:rPr>
      <w:rFonts w:ascii="Calibri" w:hAnsi="Calibri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B7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726F"/>
    <w:pPr>
      <w:spacing w:before="160" w:after="320"/>
      <w:contextualSpacing/>
    </w:pPr>
    <w:rPr>
      <w:rFonts w:ascii="Calibri" w:eastAsiaTheme="minorHAnsi" w:hAnsi="Calibri" w:cstheme="minorBidi"/>
      <w:color w:val="000000" w:themeColor="text1"/>
      <w:sz w:val="20"/>
      <w:szCs w:val="20"/>
      <w:lang w:val="fr-FR" w:eastAsia="ja-JP" w:bidi="fr-FR"/>
    </w:rPr>
  </w:style>
  <w:style w:type="character" w:customStyle="1" w:styleId="CommentaireCar">
    <w:name w:val="Commentaire Car"/>
    <w:basedOn w:val="Policepardfaut"/>
    <w:link w:val="Commentaire"/>
    <w:uiPriority w:val="99"/>
    <w:rsid w:val="00FB726F"/>
    <w:rPr>
      <w:rFonts w:ascii="Calibri" w:hAnsi="Calibri"/>
      <w:color w:val="000000" w:themeColor="text1"/>
      <w:sz w:val="20"/>
      <w:szCs w:val="20"/>
      <w:lang w:val="fr-FR" w:eastAsia="ja-JP" w:bidi="fr-FR"/>
    </w:rPr>
  </w:style>
  <w:style w:type="paragraph" w:styleId="Paragraphedeliste">
    <w:name w:val="List Paragraph"/>
    <w:basedOn w:val="Normal"/>
    <w:uiPriority w:val="34"/>
    <w:qFormat/>
    <w:rsid w:val="00FB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8" ma:contentTypeDescription="Crée un document." ma:contentTypeScope="" ma:versionID="e089b094a772de2e758f5283d9d1ea33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f641d818858259eb206ebfb7bec0f52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83d09f-c48d-48fd-af99-010189b758b8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41EB0-3F18-45BD-BA06-79C1AB90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EFD4D-1743-4410-8891-B8F2F5576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Valérie Bélanger</cp:lastModifiedBy>
  <cp:revision>24</cp:revision>
  <dcterms:created xsi:type="dcterms:W3CDTF">2024-02-07T20:38:00Z</dcterms:created>
  <dcterms:modified xsi:type="dcterms:W3CDTF">2024-02-12T19:03:00Z</dcterms:modified>
</cp:coreProperties>
</file>